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57" w:hanging="357"/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个人简介：</w:t>
      </w:r>
    </w:p>
    <w:p>
      <w:pPr>
        <w:pStyle w:val="4"/>
        <w:ind w:left="418" w:firstLine="420" w:firstLineChars="200"/>
        <w:rPr>
          <w:rFonts w:hint="eastAsia" w:ascii="Times New Roman" w:hAnsi="Times New Roman" w:cs="Times New Roman"/>
          <w:sz w:val="21"/>
          <w:szCs w:val="21"/>
        </w:rPr>
      </w:pPr>
      <w:bookmarkStart w:id="6" w:name="_GoBack"/>
      <w:bookmarkEnd w:id="6"/>
      <w:bookmarkStart w:id="0" w:name="OLE_LINK14"/>
      <w:bookmarkEnd w:id="0"/>
      <w:bookmarkStart w:id="1" w:name="OLE_LINK11"/>
      <w:bookmarkEnd w:id="1"/>
      <w:r>
        <w:rPr>
          <w:rFonts w:hint="eastAsia" w:ascii="Times New Roman" w:hAnsi="Times New Roman" w:cs="Times New Roman"/>
          <w:sz w:val="21"/>
          <w:szCs w:val="21"/>
        </w:rPr>
        <w:t>何伟，男，教授，硕士生导师，香港理工大学访问学者，福建省百千万人才工程省级人选，福建省高层次人才，福建省高校杰出青年科研人才，现任闽江学院教务处长、物理与电子信息工程学院院长，海洋智能船舶装备福建省高校工程研究中心主任。主要研究智能系统与信息融合、船海装备与新能源等领域。先后在国内外发表学术论文50余篇；主持国家自然科学基金面上项目、福建省自然科学基金项目等省部级以上项目十余项；获福建省教学成果特等奖、福建省科技进步二等奖、中国航海学会科学技术一等奖等多项省部级奖项。入选担任福建省创新创业创造教育指导委员会委员，中国智能交通协会水路交通专业委员会委员，福建省船舶与海洋工程学会委员等学术兼职。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研究方向：</w:t>
      </w:r>
    </w:p>
    <w:p>
      <w:pPr>
        <w:pStyle w:val="4"/>
        <w:spacing w:before="0" w:beforeAutospacing="0" w:after="0" w:afterAutospacing="0"/>
        <w:ind w:left="418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智能系统及信息融合，大数据技术应用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代表性论文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  <w:u w:val="single"/>
        </w:rPr>
        <w:t>He, Wei</w:t>
      </w:r>
      <w:r>
        <w:rPr>
          <w:rFonts w:ascii="Times New Roman" w:hAnsi="Times New Roman" w:eastAsia="宋体" w:cs="Times New Roman"/>
          <w:szCs w:val="21"/>
        </w:rPr>
        <w:t xml:space="preserve">; Liu, Xinlong; Chu, Xiumin; Wang, Zhiyuan; Fracz, Pawel; Li, Zhixiong. A Novel Fitting Model for Practical AIS Abnormal Data Repair in Inland River, ELEKTRONIKA IR ELEKTROTECHNIKA, 27 (1) , pp.60-70, 2021, 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  <w:u w:val="single"/>
        </w:rPr>
        <w:t>He, Wei</w:t>
      </w:r>
      <w:r>
        <w:rPr>
          <w:rFonts w:ascii="Times New Roman" w:hAnsi="Times New Roman" w:eastAsia="宋体" w:cs="Times New Roman"/>
          <w:szCs w:val="21"/>
        </w:rPr>
        <w:t xml:space="preserve">; Lei, Jinyu; Chu, Xiumin; A Visual Analysis Approach to Understand and Explore Quality Problems of AIS Data, JOURNAL OF MARINE SCIENCE AND ENGINEERING, 2021，9 (2) 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  <w:u w:val="single"/>
        </w:rPr>
        <w:t>He, Wei</w:t>
      </w:r>
      <w:r>
        <w:rPr>
          <w:rFonts w:ascii="Times New Roman" w:hAnsi="Times New Roman" w:eastAsia="宋体" w:cs="Times New Roman"/>
          <w:szCs w:val="21"/>
        </w:rPr>
        <w:t xml:space="preserve">; Chu, Xiumin; Zhou ,Navigational risk assessment of Three Gorges ship lock: Field data analysis using intelligent expert system, JOURNAL OF INTELLIGENT &amp; FUZZY SYSTEMS,2020, 38 (2) , pp.1197-1202, 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Wu, Yong;Chu, Xiumin;Deng, Lei；Lei, Jinyu;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He, W*;</w:t>
      </w:r>
      <w:r>
        <w:rPr>
          <w:rFonts w:ascii="Times New Roman" w:hAnsi="Times New Roman" w:eastAsia="宋体" w:cs="Times New Roman"/>
          <w:szCs w:val="21"/>
        </w:rPr>
        <w:t>Krolczyk, Grzegorz;Li, Zhixiong. A new multi-sensor fusion approach for integrated ship motion perception in inland waterways. Measurement Volume 200, 15 August 2022, 111630</w:t>
      </w: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科研项目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ascii="文泉驛等寬正黑" w:hAnsi="&amp;quot" w:eastAsia="文泉驛等寬正黑"/>
          <w:color w:val="333333"/>
          <w:sz w:val="21"/>
          <w:szCs w:val="21"/>
        </w:rPr>
      </w:pPr>
      <w:bookmarkStart w:id="2" w:name="OLE_LINK17"/>
      <w:bookmarkEnd w:id="2"/>
      <w:bookmarkStart w:id="3" w:name="OLE_LINK12"/>
      <w:bookmarkEnd w:id="3"/>
      <w:bookmarkStart w:id="4" w:name="OLE_LINK16"/>
      <w:bookmarkEnd w:id="4"/>
      <w:bookmarkStart w:id="5" w:name="OLE_LINK13"/>
      <w:bookmarkEnd w:id="5"/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国家自然科学基金面上项目，繁忙水域船舶航行风险态势预测与可视化研究，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202201-202401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，5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8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万元，主持。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福建省产学合作项目，船舶智能航行感知系统研发与应用，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201904-202204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，40万，主持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福建省海洋与渔业局-福建省海洋经济发展专项，近海海洋牧场养殖平台运营智能管控关键技术及示范应用，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2022/01-2024/12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80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万，主持。</w:t>
      </w: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科研获奖</w:t>
      </w:r>
    </w:p>
    <w:p>
      <w:pPr>
        <w:spacing w:line="32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1、福建省科技进步奖三等奖，序1，水上助导航系统运行智能化关键技术，</w:t>
      </w:r>
      <w:r>
        <w:rPr>
          <w:rFonts w:ascii="仿宋_GB2312" w:eastAsia="仿宋_GB2312"/>
          <w:bCs/>
          <w:sz w:val="24"/>
        </w:rPr>
        <w:t>2020-J-3-018-01,2022.02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HAnsi" w:cstheme="minorBidi"/>
          <w:bCs/>
          <w:kern w:val="2"/>
          <w:szCs w:val="22"/>
        </w:rPr>
      </w:pPr>
      <w:r>
        <w:rPr>
          <w:rFonts w:hint="eastAsia" w:ascii="仿宋_GB2312" w:eastAsia="仿宋_GB2312" w:hAnsiTheme="minorHAnsi" w:cstheme="minorBidi"/>
          <w:bCs/>
          <w:kern w:val="2"/>
          <w:szCs w:val="22"/>
        </w:rPr>
        <w:t>2、福建省科技进步奖三等奖，序1，通航受限水域船舶航行安全智能管控关键技术2019-J-3-057-01,2020.11</w:t>
      </w:r>
    </w:p>
    <w:p>
      <w:pPr>
        <w:pStyle w:val="4"/>
        <w:spacing w:before="0" w:beforeAutospacing="0" w:after="0" w:afterAutospacing="0"/>
        <w:rPr>
          <w:rFonts w:hint="eastAsia" w:ascii="仿宋_GB2312" w:eastAsia="仿宋_GB2312" w:hAnsiTheme="minorHAnsi" w:cstheme="minorBidi"/>
          <w:bCs/>
          <w:kern w:val="2"/>
          <w:szCs w:val="22"/>
        </w:rPr>
      </w:pPr>
      <w:r>
        <w:rPr>
          <w:rFonts w:hint="eastAsia" w:ascii="仿宋_GB2312" w:eastAsia="仿宋_GB2312" w:hAnsiTheme="minorHAnsi" w:cstheme="minorBidi"/>
          <w:bCs/>
          <w:kern w:val="2"/>
          <w:szCs w:val="22"/>
        </w:rPr>
        <w:t>3、福建省科技进步奖二等，序</w:t>
      </w:r>
      <w:r>
        <w:rPr>
          <w:rFonts w:ascii="仿宋_GB2312" w:eastAsia="仿宋_GB2312" w:hAnsiTheme="minorHAnsi" w:cstheme="minorBidi"/>
          <w:bCs/>
          <w:kern w:val="2"/>
          <w:szCs w:val="22"/>
        </w:rPr>
        <w:t>2</w:t>
      </w:r>
      <w:r>
        <w:rPr>
          <w:rFonts w:hint="eastAsia" w:ascii="仿宋_GB2312" w:eastAsia="仿宋_GB2312" w:hAnsiTheme="minorHAnsi" w:cstheme="minorBidi"/>
          <w:bCs/>
          <w:kern w:val="2"/>
          <w:szCs w:val="22"/>
        </w:rPr>
        <w:t>，奖近海渔业生产安全保障关键技术与应用，</w:t>
      </w:r>
      <w:r>
        <w:rPr>
          <w:rFonts w:ascii="仿宋_GB2312" w:eastAsia="仿宋_GB2312" w:hAnsiTheme="minorHAnsi" w:cstheme="minorBidi"/>
          <w:bCs/>
          <w:kern w:val="2"/>
          <w:szCs w:val="22"/>
        </w:rPr>
        <w:t>2018-J-2-035-02，2019.09</w:t>
      </w:r>
    </w:p>
    <w:p>
      <w:pPr>
        <w:pStyle w:val="4"/>
        <w:numPr>
          <w:ilvl w:val="0"/>
          <w:numId w:val="6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Email：</w:t>
      </w:r>
      <w:r>
        <w:rPr>
          <w:rFonts w:ascii="微软雅黑" w:hAnsi="微软雅黑" w:eastAsia="微软雅黑"/>
          <w:color w:val="333333"/>
          <w:sz w:val="23"/>
          <w:szCs w:val="23"/>
        </w:rPr>
        <w:t>hewei11@mju.edu.cn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17D5"/>
    <w:multiLevelType w:val="multilevel"/>
    <w:tmpl w:val="2D4617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15C1F5D"/>
    <w:multiLevelType w:val="multilevel"/>
    <w:tmpl w:val="415C1F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8FD557F"/>
    <w:multiLevelType w:val="multilevel"/>
    <w:tmpl w:val="48FD55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7509B1"/>
    <w:multiLevelType w:val="multilevel"/>
    <w:tmpl w:val="5E750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93328CD"/>
    <w:multiLevelType w:val="multilevel"/>
    <w:tmpl w:val="693328C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D9B1270"/>
    <w:multiLevelType w:val="multilevel"/>
    <w:tmpl w:val="6D9B12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NDk1NTFlOTJkYjE5YjAxN2MxMmZlNzA4Y2MxNDIifQ=="/>
  </w:docVars>
  <w:rsids>
    <w:rsidRoot w:val="00AE19E2"/>
    <w:rsid w:val="000D6E2B"/>
    <w:rsid w:val="000F35A8"/>
    <w:rsid w:val="001276C3"/>
    <w:rsid w:val="00190CD2"/>
    <w:rsid w:val="00250186"/>
    <w:rsid w:val="00343C6E"/>
    <w:rsid w:val="003D7643"/>
    <w:rsid w:val="00546BAB"/>
    <w:rsid w:val="005C7564"/>
    <w:rsid w:val="006337FE"/>
    <w:rsid w:val="006A1BFD"/>
    <w:rsid w:val="0070411B"/>
    <w:rsid w:val="00731239"/>
    <w:rsid w:val="007960B7"/>
    <w:rsid w:val="007B040E"/>
    <w:rsid w:val="00874B3E"/>
    <w:rsid w:val="00A822DC"/>
    <w:rsid w:val="00AC4431"/>
    <w:rsid w:val="00AD56E1"/>
    <w:rsid w:val="00AE03E2"/>
    <w:rsid w:val="00AE19E2"/>
    <w:rsid w:val="00C259B7"/>
    <w:rsid w:val="00C879CA"/>
    <w:rsid w:val="00CC6898"/>
    <w:rsid w:val="00DC1ACA"/>
    <w:rsid w:val="00EC737A"/>
    <w:rsid w:val="00EF5CC8"/>
    <w:rsid w:val="00F4606F"/>
    <w:rsid w:val="078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tg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1369</Characters>
  <Lines>54</Lines>
  <Paragraphs>56</Paragraphs>
  <TotalTime>8</TotalTime>
  <ScaleCrop>false</ScaleCrop>
  <LinksUpToDate>false</LinksUpToDate>
  <CharactersWithSpaces>1500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2023-05-30T15:55:00Z</dcterms:created>
  <dc:creator>lin hongxin</dc:creator>
  <cp:lastModifiedBy>alvin</cp:lastModifiedBy>
  <dcterms:modified xsi:type="dcterms:W3CDTF">2023-05-31T01:56:24Z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8dab193a4a2b0384a5bf1dfd0c7baf6fd5b2d477c13dcac3ddce82bbc0dca21c</vt:lpwstr>
  </property>
  <property fmtid="{D5CDD505-2E9C-101B-9397-08002B2CF9AE}" pid="3" name="KSOProductBuildVer">
    <vt:lpwstr>2052-11.1.0.12763</vt:lpwstr>
  </property>
  <property fmtid="{D5CDD505-2E9C-101B-9397-08002B2CF9AE}" pid="4" name="ICV">
    <vt:lpwstr>1415DEC94C454750B9173E412E35B2D8</vt:lpwstr>
  </property>
</Properties>
</file>