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3" w:rsidRPr="00427EB8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27EB8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福建师范大学</w:t>
      </w:r>
      <w:r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光电与</w:t>
      </w:r>
      <w:r>
        <w:rPr>
          <w:rFonts w:ascii="黑体" w:eastAsia="黑体" w:hAnsi="黑体" w:cs="Arial"/>
          <w:color w:val="000000"/>
          <w:kern w:val="0"/>
          <w:sz w:val="36"/>
          <w:szCs w:val="36"/>
        </w:rPr>
        <w:t>信息工程</w:t>
      </w:r>
      <w:r w:rsidRPr="00427EB8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学院研究生出国（境）访学资助实施办法</w:t>
      </w:r>
    </w:p>
    <w:p w:rsidR="0021013A" w:rsidRDefault="0021013A" w:rsidP="009640A3">
      <w:pPr>
        <w:widowControl/>
        <w:shd w:val="clear" w:color="auto" w:fill="FFFFFF"/>
        <w:spacing w:line="600" w:lineRule="atLeast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9640A3" w:rsidRPr="00427EB8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27EB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第一章</w:t>
      </w:r>
      <w:r w:rsidR="002101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Pr="00427EB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总则</w:t>
      </w:r>
    </w:p>
    <w:p w:rsidR="009640A3" w:rsidRPr="00427EB8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427EB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第一条</w:t>
      </w:r>
      <w:r w:rsidR="0021013A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</w:t>
      </w:r>
      <w:r w:rsidRPr="00427EB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为开拓研究生视野，激发研究生内在学习动力，全面提高我院研究生培养质量，推动我院研究生教育国际化水平，经学院研究决定，制定研究生出国（</w:t>
      </w:r>
      <w:bookmarkStart w:id="0" w:name="_GoBack"/>
      <w:bookmarkEnd w:id="0"/>
      <w:r w:rsidRPr="00427EB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境）访学资助实施办法。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第二章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资助对象与计划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第二条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资助对象：学制年限内</w:t>
      </w:r>
      <w:r w:rsidR="00364536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的非定向博士研究生和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部分特别优秀的非定向硕士研究生，已享受国家留学基金资助出国留学和正在境外学习的研究生除外。</w:t>
      </w:r>
    </w:p>
    <w:p w:rsidR="009640A3" w:rsidRPr="0097531A" w:rsidRDefault="009640A3" w:rsidP="0021013A">
      <w:pPr>
        <w:widowControl/>
        <w:shd w:val="clear" w:color="auto" w:fill="FFFFFF"/>
        <w:spacing w:line="600" w:lineRule="atLeas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第三条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年资助人数：学院学术分委员会根据当年度研究生申请情况而定。</w:t>
      </w:r>
    </w:p>
    <w:p w:rsidR="009640A3" w:rsidRPr="0097531A" w:rsidRDefault="009640A3" w:rsidP="0021013A">
      <w:pPr>
        <w:widowControl/>
        <w:shd w:val="clear" w:color="auto" w:fill="FFFFFF"/>
        <w:spacing w:line="600" w:lineRule="atLeas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第四条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资助标准：每生3～10万元人民币。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第三章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访学期限与申请条件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第五条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申请访学期限为3～12个月，访学起始时间应该在本学年内。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第六条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spacing w:val="15"/>
          <w:kern w:val="0"/>
          <w:sz w:val="32"/>
          <w:szCs w:val="32"/>
        </w:rPr>
        <w:t>访学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内容应与学位论文研究工作相关，且具有较强的学科前沿性和较高的学术价值</w:t>
      </w:r>
      <w:r w:rsidR="009A29AC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，并获得访学单位的《接收函》或《邀请信》</w:t>
      </w:r>
      <w:r w:rsidRPr="0097531A">
        <w:rPr>
          <w:rFonts w:ascii="仿宋_gb2312" w:eastAsia="仿宋_gb2312" w:hAnsi="Arial" w:cs="Arial" w:hint="eastAsia"/>
          <w:spacing w:val="15"/>
          <w:kern w:val="0"/>
          <w:sz w:val="32"/>
          <w:szCs w:val="32"/>
        </w:rPr>
        <w:t>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7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spacing w:val="15"/>
          <w:kern w:val="0"/>
          <w:sz w:val="32"/>
          <w:szCs w:val="32"/>
        </w:rPr>
        <w:lastRenderedPageBreak/>
        <w:t>第七条</w:t>
      </w:r>
      <w:r w:rsidR="00364536" w:rsidRPr="0097531A">
        <w:rPr>
          <w:rFonts w:ascii="仿宋_gb2312" w:eastAsia="仿宋_gb2312" w:hAnsi="Arial" w:cs="Arial"/>
          <w:spacing w:val="15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访学单位应是国（境）外著名大学或科研机构。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第八条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申请条件：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（一）热爱祖国，思想道德品质良好，遵纪守法；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（二）学习勤奋，成绩优秀；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（三）科研潜力大，成果突出；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（四）具有较强的外语读写听说能力，符合访学国家和访学单位的相关语言要求。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第四章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选拔程序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第九条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选拨坚持公平、公正、公开原则，采取“个人申请、导师和专家推荐、学院学术分委员会评审、择优录取”的选拔方式。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申请人应提交的申请材料：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（一）福建师范大学研究生外出访学申请表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:rsidR="004A6FBD" w:rsidRPr="0097531A" w:rsidRDefault="004A6FBD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（二）光电与信息工程学院“研究生出国（境）访学资助项目”申请表；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三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）访学单位的正式邀请函及复印件（含中文翻译件）；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四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）外语水平证明及复印件；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五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）科研成果证明材料及复印件；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六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）近五年获奖证书及复印件；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4A6FBD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七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）访学计划书（中外双方导师签字认可）；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第十一条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学院学术分委员会对申请人的申请条件进行筛选、排序，择优确定资助对象，并在全院公示5个工作日。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第五章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派出与管理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第十二条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资助</w:t>
      </w:r>
      <w:r w:rsidR="00A15A62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对象及其担保人（校内研究生导师）与学院签署《福建师范大学光电</w:t>
      </w:r>
      <w:r w:rsidR="00A15A62" w:rsidRPr="0097531A">
        <w:rPr>
          <w:rFonts w:ascii="仿宋_gb2312" w:eastAsia="仿宋_gb2312" w:hAnsi="Arial" w:cs="Arial"/>
          <w:kern w:val="0"/>
          <w:sz w:val="32"/>
          <w:szCs w:val="32"/>
        </w:rPr>
        <w:t>与信息工程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学院研究生出国（境）访学资助协议书》，担保人承担访学研究生按时完成访学计划并按期回国的责任。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第十三条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获资助研究生办理出国（境）手续。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第十四条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获资助研究生在国（境）外访学期间，应遵守当地法律法规和访学单位相关规章制度。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第十五条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学院及导师应加强与获资助研究生访学单位和研究生的联系，履行培养和管理职责。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第十六条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获资助研究生在访学期间应保持与国（境）内导师和学院的联系，定期汇报学习、生活、工作情况。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第十七条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获资助研究生访学结束后，按期回国报到，提交《福建师范大学</w:t>
      </w:r>
      <w:r w:rsidR="00A15A62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光电与</w:t>
      </w:r>
      <w:r w:rsidR="00A15A62" w:rsidRPr="0097531A">
        <w:rPr>
          <w:rFonts w:ascii="仿宋_gb2312" w:eastAsia="仿宋_gb2312" w:hAnsi="Arial" w:cs="Arial"/>
          <w:kern w:val="0"/>
          <w:sz w:val="32"/>
          <w:szCs w:val="32"/>
        </w:rPr>
        <w:t>信息工程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学院研究生访学考核表》和相应学术科研成果，并于访学结束两周内在学院作一次公开访学的学术报告。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第六章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经费使用与管理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第十八条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经费从学院学科建设经费开支，主要用于研究生访学期间所发生的差旅费（含国际国内）、签证费、医疗保险费、生活费以及住宿费等。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第十九条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回国办完报到手续，经考核合格的，可报销全部资助金额。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第二十条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延长访学期限的须经申请人国内研究生导师、学院同意，超出时间外的费用由研究生自行解决。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第二十一条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spacing w:val="15"/>
          <w:kern w:val="0"/>
          <w:sz w:val="32"/>
          <w:szCs w:val="32"/>
        </w:rPr>
        <w:t>因个人原因未按期完成访学计划、回国后未作学术报告的研究生、中途中断访学的，视情况报销部分资助金额。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spacing w:val="15"/>
          <w:kern w:val="0"/>
          <w:sz w:val="30"/>
          <w:szCs w:val="30"/>
        </w:rPr>
        <w:t>第二十二条</w:t>
      </w:r>
      <w:r w:rsidR="0021013A" w:rsidRPr="0097531A">
        <w:rPr>
          <w:rFonts w:ascii="仿宋_gb2312" w:eastAsia="仿宋_gb2312" w:hAnsi="Arial" w:cs="Arial" w:hint="eastAsia"/>
          <w:spacing w:val="15"/>
          <w:kern w:val="0"/>
          <w:sz w:val="30"/>
          <w:szCs w:val="30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对于不按时回国的访学研究生，学院将不予资助相关费用，并按相关规定进行处理。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spacing w:val="15"/>
          <w:kern w:val="0"/>
          <w:sz w:val="30"/>
          <w:szCs w:val="30"/>
        </w:rPr>
        <w:t>第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二十三条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访学资助参考标准见下表：</w:t>
      </w:r>
    </w:p>
    <w:tbl>
      <w:tblPr>
        <w:tblW w:w="9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97531A" w:rsidRPr="0097531A" w:rsidTr="00052D78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实际访学时间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资助上限（人民币）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6.65万元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7.30万元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7.95万元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8.60万元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9.25万元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97531A" w:rsidRPr="0097531A" w:rsidTr="00052D78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12个月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53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10万元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0A3" w:rsidRPr="0097531A" w:rsidRDefault="009640A3" w:rsidP="00052D78">
            <w:pPr>
              <w:widowControl/>
              <w:spacing w:line="378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9640A3" w:rsidRPr="0097531A" w:rsidRDefault="009640A3" w:rsidP="0021013A">
      <w:pPr>
        <w:widowControl/>
        <w:shd w:val="clear" w:color="auto" w:fill="FFFFFF"/>
        <w:ind w:firstLine="646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531A">
        <w:rPr>
          <w:rFonts w:ascii="仿宋_gb2312" w:eastAsia="仿宋_gb2312" w:hAnsi="Arial" w:cs="Arial" w:hint="eastAsia"/>
          <w:kern w:val="0"/>
          <w:sz w:val="24"/>
          <w:szCs w:val="24"/>
        </w:rPr>
        <w:t>注：1.资助在限额内冲账报销，含签证费、往返旅费和基本生活学习费用，超支部分由访学个人承担；</w:t>
      </w:r>
    </w:p>
    <w:p w:rsidR="009640A3" w:rsidRPr="0097531A" w:rsidRDefault="009640A3" w:rsidP="0021013A">
      <w:pPr>
        <w:widowControl/>
        <w:shd w:val="clear" w:color="auto" w:fill="FFFFFF"/>
        <w:ind w:firstLine="646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531A">
        <w:rPr>
          <w:rFonts w:ascii="仿宋_gb2312" w:eastAsia="仿宋_gb2312" w:hAnsi="Arial" w:cs="Arial" w:hint="eastAsia"/>
          <w:kern w:val="0"/>
          <w:sz w:val="24"/>
          <w:szCs w:val="24"/>
        </w:rPr>
        <w:t>2.</w:t>
      </w:r>
      <w:r w:rsidR="00877AE2" w:rsidRPr="0097531A">
        <w:rPr>
          <w:rFonts w:ascii="仿宋_gb2312" w:eastAsia="仿宋_gb2312" w:hAnsi="Arial" w:cs="Arial" w:hint="eastAsia"/>
          <w:kern w:val="0"/>
          <w:sz w:val="24"/>
          <w:szCs w:val="24"/>
        </w:rPr>
        <w:t>冲账报销时请随带《福建师范大学光电</w:t>
      </w:r>
      <w:r w:rsidR="00877AE2" w:rsidRPr="0097531A">
        <w:rPr>
          <w:rFonts w:ascii="仿宋_gb2312" w:eastAsia="仿宋_gb2312" w:hAnsi="Arial" w:cs="Arial"/>
          <w:kern w:val="0"/>
          <w:sz w:val="24"/>
          <w:szCs w:val="24"/>
        </w:rPr>
        <w:t>与信息工程</w:t>
      </w:r>
      <w:r w:rsidRPr="0097531A">
        <w:rPr>
          <w:rFonts w:ascii="仿宋_gb2312" w:eastAsia="仿宋_gb2312" w:hAnsi="Arial" w:cs="Arial" w:hint="eastAsia"/>
          <w:kern w:val="0"/>
          <w:sz w:val="24"/>
          <w:szCs w:val="24"/>
        </w:rPr>
        <w:t>学院研究生访学考核表》；</w:t>
      </w:r>
    </w:p>
    <w:p w:rsidR="009640A3" w:rsidRPr="0097531A" w:rsidRDefault="009640A3" w:rsidP="0021013A">
      <w:pPr>
        <w:widowControl/>
        <w:shd w:val="clear" w:color="auto" w:fill="FFFFFF"/>
        <w:ind w:firstLine="646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7531A">
        <w:rPr>
          <w:rFonts w:ascii="仿宋_gb2312" w:eastAsia="仿宋_gb2312" w:hAnsi="Arial" w:cs="Arial" w:hint="eastAsia"/>
          <w:kern w:val="0"/>
          <w:sz w:val="24"/>
          <w:szCs w:val="24"/>
        </w:rPr>
        <w:t>3.基本生活学习费用包干使用，包括：伙食费、住宿费、注册费、交通费、电话费、书籍资料费、医疗保险费、零用费等，每人每月标准如下：美洲、欧洲、大洋洲国家及新加坡6500元人民币，日本、香港6100元人民币，台湾4300元人民币。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第七章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附则</w:t>
      </w:r>
    </w:p>
    <w:p w:rsidR="009640A3" w:rsidRPr="0097531A" w:rsidRDefault="009640A3" w:rsidP="009640A3">
      <w:pPr>
        <w:widowControl/>
        <w:shd w:val="clear" w:color="auto" w:fill="FFFFFF"/>
        <w:spacing w:line="600" w:lineRule="atLeast"/>
        <w:ind w:firstLine="645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第二十四条</w:t>
      </w:r>
      <w:r w:rsidR="0021013A" w:rsidRPr="0097531A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="00A15A62" w:rsidRPr="0097531A">
        <w:rPr>
          <w:rFonts w:ascii="仿宋_gb2312" w:eastAsia="仿宋_gb2312" w:hAnsi="Arial" w:cs="Arial" w:hint="eastAsia"/>
          <w:kern w:val="0"/>
          <w:sz w:val="32"/>
          <w:szCs w:val="32"/>
        </w:rPr>
        <w:t>本办法由福建师范大学光电</w:t>
      </w:r>
      <w:r w:rsidR="00A15A62" w:rsidRPr="0097531A">
        <w:rPr>
          <w:rFonts w:ascii="仿宋_gb2312" w:eastAsia="仿宋_gb2312" w:hAnsi="Arial" w:cs="Arial"/>
          <w:kern w:val="0"/>
          <w:sz w:val="32"/>
          <w:szCs w:val="32"/>
        </w:rPr>
        <w:t>与信息工程</w:t>
      </w:r>
      <w:r w:rsidRPr="0097531A">
        <w:rPr>
          <w:rFonts w:ascii="仿宋_gb2312" w:eastAsia="仿宋_gb2312" w:hAnsi="Arial" w:cs="Arial" w:hint="eastAsia"/>
          <w:kern w:val="0"/>
          <w:sz w:val="32"/>
          <w:szCs w:val="32"/>
        </w:rPr>
        <w:t>学院负责解释。本办法自公布之日起施行。</w:t>
      </w:r>
    </w:p>
    <w:p w:rsidR="009640A3" w:rsidRPr="0097531A" w:rsidRDefault="009640A3" w:rsidP="009640A3"/>
    <w:p w:rsidR="00F11D43" w:rsidRPr="0097531A" w:rsidRDefault="00F11D43" w:rsidP="009640A3"/>
    <w:sectPr w:rsidR="00F11D43" w:rsidRPr="0097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86" w:rsidRDefault="00554886" w:rsidP="009A29AC">
      <w:r>
        <w:separator/>
      </w:r>
    </w:p>
  </w:endnote>
  <w:endnote w:type="continuationSeparator" w:id="0">
    <w:p w:rsidR="00554886" w:rsidRDefault="00554886" w:rsidP="009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86" w:rsidRDefault="00554886" w:rsidP="009A29AC">
      <w:r>
        <w:separator/>
      </w:r>
    </w:p>
  </w:footnote>
  <w:footnote w:type="continuationSeparator" w:id="0">
    <w:p w:rsidR="00554886" w:rsidRDefault="00554886" w:rsidP="009A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3"/>
    <w:rsid w:val="00023796"/>
    <w:rsid w:val="0021013A"/>
    <w:rsid w:val="00255AC3"/>
    <w:rsid w:val="00364536"/>
    <w:rsid w:val="004A6FBD"/>
    <w:rsid w:val="004C21C6"/>
    <w:rsid w:val="00554886"/>
    <w:rsid w:val="00652E9B"/>
    <w:rsid w:val="00877AE2"/>
    <w:rsid w:val="009640A3"/>
    <w:rsid w:val="0097531A"/>
    <w:rsid w:val="009A29AC"/>
    <w:rsid w:val="00A15A62"/>
    <w:rsid w:val="00BD2B9D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07FF7-A610-4647-A765-BE61059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9AC"/>
    <w:rPr>
      <w:sz w:val="18"/>
      <w:szCs w:val="18"/>
    </w:rPr>
  </w:style>
  <w:style w:type="paragraph" w:styleId="a7">
    <w:name w:val="List Paragraph"/>
    <w:basedOn w:val="a"/>
    <w:uiPriority w:val="34"/>
    <w:qFormat/>
    <w:rsid w:val="004A6F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272</Words>
  <Characters>1552</Characters>
  <Application>Microsoft Office Word</Application>
  <DocSecurity>0</DocSecurity>
  <Lines>12</Lines>
  <Paragraphs>3</Paragraphs>
  <ScaleCrop>false</ScaleCrop>
  <Company>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 希文</cp:lastModifiedBy>
  <cp:revision>4</cp:revision>
  <dcterms:created xsi:type="dcterms:W3CDTF">2019-10-24T07:44:00Z</dcterms:created>
  <dcterms:modified xsi:type="dcterms:W3CDTF">2019-11-07T07:57:00Z</dcterms:modified>
</cp:coreProperties>
</file>